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46" w:rsidRPr="0036493C" w:rsidRDefault="00907446" w:rsidP="0036493C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bookmarkStart w:id="0" w:name="_GoBack"/>
      <w:r w:rsidRPr="0036493C">
        <w:rPr>
          <w:rFonts w:ascii="Times New Roman" w:hAnsi="Times New Roman" w:cs="Times New Roman"/>
          <w:color w:val="auto"/>
          <w:sz w:val="32"/>
          <w:szCs w:val="32"/>
          <w:lang w:val="ru-RU"/>
        </w:rPr>
        <w:t>Справка по весенней охоте</w:t>
      </w:r>
    </w:p>
    <w:bookmarkEnd w:id="0"/>
    <w:p w:rsidR="00907446" w:rsidRPr="00907446" w:rsidRDefault="00907446" w:rsidP="0090744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0DC" w:rsidRDefault="00E66091" w:rsidP="00031D8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весну 2016 года в</w:t>
      </w:r>
      <w:r w:rsidR="002D3FD3">
        <w:rPr>
          <w:rFonts w:ascii="Times New Roman" w:hAnsi="Times New Roman" w:cs="Times New Roman"/>
          <w:sz w:val="28"/>
          <w:szCs w:val="28"/>
        </w:rPr>
        <w:t xml:space="preserve"> республике</w:t>
      </w:r>
      <w:r>
        <w:rPr>
          <w:rFonts w:ascii="Times New Roman" w:hAnsi="Times New Roman" w:cs="Times New Roman"/>
          <w:sz w:val="28"/>
          <w:szCs w:val="28"/>
        </w:rPr>
        <w:t xml:space="preserve"> имелось</w:t>
      </w:r>
      <w:r w:rsidR="002D3FD3">
        <w:rPr>
          <w:rFonts w:ascii="Times New Roman" w:hAnsi="Times New Roman" w:cs="Times New Roman"/>
          <w:sz w:val="28"/>
          <w:szCs w:val="28"/>
        </w:rPr>
        <w:t xml:space="preserve"> 759 охотничьих хозяйств</w:t>
      </w:r>
      <w:r w:rsidR="009776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 которых закреплено за субъектами охотничьих хозяйств</w:t>
      </w:r>
      <w:r w:rsidR="0097760E">
        <w:rPr>
          <w:rFonts w:ascii="Times New Roman" w:hAnsi="Times New Roman" w:cs="Times New Roman"/>
          <w:sz w:val="28"/>
          <w:szCs w:val="28"/>
        </w:rPr>
        <w:t xml:space="preserve"> 697. Всего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97760E">
        <w:rPr>
          <w:rFonts w:ascii="Times New Roman" w:hAnsi="Times New Roman" w:cs="Times New Roman"/>
          <w:sz w:val="28"/>
          <w:szCs w:val="28"/>
        </w:rPr>
        <w:t>охотпользователей</w:t>
      </w:r>
      <w:r w:rsidR="002D3FD3">
        <w:rPr>
          <w:rFonts w:ascii="Times New Roman" w:hAnsi="Times New Roman" w:cs="Times New Roman"/>
          <w:sz w:val="28"/>
          <w:szCs w:val="28"/>
        </w:rPr>
        <w:t xml:space="preserve"> 358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3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60E" w:rsidRDefault="00E66091" w:rsidP="00031D8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3FD3">
        <w:rPr>
          <w:rFonts w:ascii="Times New Roman" w:hAnsi="Times New Roman" w:cs="Times New Roman"/>
          <w:sz w:val="28"/>
          <w:szCs w:val="28"/>
        </w:rPr>
        <w:t>хотников</w:t>
      </w:r>
      <w:r>
        <w:rPr>
          <w:rFonts w:ascii="Times New Roman" w:hAnsi="Times New Roman" w:cs="Times New Roman"/>
          <w:sz w:val="28"/>
          <w:szCs w:val="28"/>
        </w:rPr>
        <w:t xml:space="preserve"> в Казахстане</w:t>
      </w:r>
      <w:r w:rsidR="002D3FD3">
        <w:rPr>
          <w:rFonts w:ascii="Times New Roman" w:hAnsi="Times New Roman" w:cs="Times New Roman"/>
          <w:sz w:val="28"/>
          <w:szCs w:val="28"/>
        </w:rPr>
        <w:t xml:space="preserve"> </w:t>
      </w:r>
      <w:r w:rsidR="0097760E">
        <w:rPr>
          <w:rFonts w:ascii="Times New Roman" w:hAnsi="Times New Roman" w:cs="Times New Roman"/>
          <w:sz w:val="28"/>
          <w:szCs w:val="28"/>
        </w:rPr>
        <w:t>–</w:t>
      </w:r>
      <w:r w:rsidR="002D3FD3">
        <w:rPr>
          <w:rFonts w:ascii="Times New Roman" w:hAnsi="Times New Roman" w:cs="Times New Roman"/>
          <w:sz w:val="28"/>
          <w:szCs w:val="28"/>
        </w:rPr>
        <w:t xml:space="preserve"> 164862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BA6EE8">
        <w:rPr>
          <w:rFonts w:ascii="Times New Roman" w:hAnsi="Times New Roman" w:cs="Times New Roman"/>
          <w:sz w:val="28"/>
          <w:szCs w:val="28"/>
        </w:rPr>
        <w:t>, из которы</w:t>
      </w:r>
      <w:r>
        <w:rPr>
          <w:rFonts w:ascii="Times New Roman" w:hAnsi="Times New Roman" w:cs="Times New Roman"/>
          <w:sz w:val="28"/>
          <w:szCs w:val="28"/>
        </w:rPr>
        <w:t>х около 70 тысяч (42%) проходят</w:t>
      </w:r>
      <w:r w:rsidR="00BA6EE8">
        <w:rPr>
          <w:rFonts w:ascii="Times New Roman" w:hAnsi="Times New Roman" w:cs="Times New Roman"/>
          <w:sz w:val="28"/>
          <w:szCs w:val="28"/>
        </w:rPr>
        <w:t xml:space="preserve"> ежегодную регистрацию, то есть являются активными охотниками.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97760E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97760E">
        <w:rPr>
          <w:rFonts w:ascii="Times New Roman" w:hAnsi="Times New Roman" w:cs="Times New Roman"/>
          <w:sz w:val="28"/>
          <w:szCs w:val="28"/>
        </w:rPr>
        <w:t xml:space="preserve"> в весенней охоте</w:t>
      </w:r>
      <w:r>
        <w:rPr>
          <w:rFonts w:ascii="Times New Roman" w:hAnsi="Times New Roman" w:cs="Times New Roman"/>
          <w:sz w:val="28"/>
          <w:szCs w:val="28"/>
        </w:rPr>
        <w:t xml:space="preserve"> 2016 года приняло</w:t>
      </w:r>
      <w:r w:rsidR="0097760E">
        <w:rPr>
          <w:rFonts w:ascii="Times New Roman" w:hAnsi="Times New Roman" w:cs="Times New Roman"/>
          <w:sz w:val="28"/>
          <w:szCs w:val="28"/>
        </w:rPr>
        <w:t xml:space="preserve"> 19006</w:t>
      </w:r>
      <w:r>
        <w:rPr>
          <w:rFonts w:ascii="Times New Roman" w:hAnsi="Times New Roman" w:cs="Times New Roman"/>
          <w:sz w:val="28"/>
          <w:szCs w:val="28"/>
        </w:rPr>
        <w:t xml:space="preserve"> человек -</w:t>
      </w:r>
      <w:r w:rsidR="0097760E">
        <w:rPr>
          <w:rFonts w:ascii="Times New Roman" w:hAnsi="Times New Roman" w:cs="Times New Roman"/>
          <w:sz w:val="28"/>
          <w:szCs w:val="28"/>
        </w:rPr>
        <w:t xml:space="preserve"> 12%</w:t>
      </w:r>
      <w:r w:rsidR="00BA6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всех владельцев удостоверения охотника</w:t>
      </w:r>
      <w:r w:rsidR="00BA6EE8">
        <w:rPr>
          <w:rFonts w:ascii="Times New Roman" w:hAnsi="Times New Roman" w:cs="Times New Roman"/>
          <w:sz w:val="28"/>
          <w:szCs w:val="28"/>
        </w:rPr>
        <w:t xml:space="preserve">, или </w:t>
      </w:r>
      <w:r w:rsidR="00BA6EE8" w:rsidRPr="00E66091">
        <w:rPr>
          <w:rFonts w:ascii="Times New Roman" w:hAnsi="Times New Roman" w:cs="Times New Roman"/>
          <w:b/>
          <w:sz w:val="28"/>
          <w:szCs w:val="28"/>
        </w:rPr>
        <w:t>28%</w:t>
      </w:r>
      <w:r w:rsidR="00BA6EE8">
        <w:rPr>
          <w:rFonts w:ascii="Times New Roman" w:hAnsi="Times New Roman" w:cs="Times New Roman"/>
          <w:sz w:val="28"/>
          <w:szCs w:val="28"/>
        </w:rPr>
        <w:t xml:space="preserve"> активных охотников.</w:t>
      </w:r>
      <w:r>
        <w:rPr>
          <w:rFonts w:ascii="Times New Roman" w:hAnsi="Times New Roman" w:cs="Times New Roman"/>
          <w:sz w:val="28"/>
          <w:szCs w:val="28"/>
        </w:rPr>
        <w:t xml:space="preserve"> При этом, далеко не все желающие имели возможность охотиться на се</w:t>
      </w:r>
      <w:r w:rsidR="00907446">
        <w:rPr>
          <w:rFonts w:ascii="Times New Roman" w:hAnsi="Times New Roman" w:cs="Times New Roman"/>
          <w:sz w:val="28"/>
          <w:szCs w:val="28"/>
        </w:rPr>
        <w:t xml:space="preserve">лезней </w:t>
      </w:r>
      <w:r>
        <w:rPr>
          <w:rFonts w:ascii="Times New Roman" w:hAnsi="Times New Roman" w:cs="Times New Roman"/>
          <w:sz w:val="28"/>
          <w:szCs w:val="28"/>
        </w:rPr>
        <w:t>из-за ограниченного количества выданных разрешений, так как лимиты были сильно урезаны от первоначальной заявки. Особенн</w:t>
      </w:r>
      <w:r w:rsidR="00F26B4A">
        <w:rPr>
          <w:rFonts w:ascii="Times New Roman" w:hAnsi="Times New Roman" w:cs="Times New Roman"/>
          <w:sz w:val="28"/>
          <w:szCs w:val="28"/>
        </w:rPr>
        <w:t>о пострадал</w:t>
      </w:r>
      <w:r w:rsidR="00611C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Кустанайская</w:t>
      </w:r>
      <w:r w:rsidR="00611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</w:t>
      </w:r>
      <w:r w:rsidR="00611CB8">
        <w:rPr>
          <w:rFonts w:ascii="Times New Roman" w:hAnsi="Times New Roman" w:cs="Times New Roman"/>
          <w:sz w:val="28"/>
          <w:szCs w:val="28"/>
        </w:rPr>
        <w:t>ь,</w:t>
      </w:r>
      <w:r w:rsidR="00F26B4A">
        <w:rPr>
          <w:rFonts w:ascii="Times New Roman" w:hAnsi="Times New Roman" w:cs="Times New Roman"/>
          <w:sz w:val="28"/>
          <w:szCs w:val="28"/>
        </w:rPr>
        <w:t xml:space="preserve"> где лимит был урезан практически в два раза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6B4A" w:rsidRDefault="00F26B4A" w:rsidP="00031D8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Отрицательное влияние весенней охоты на численность поголовья диких популяций животных не обосновано.</w:t>
      </w:r>
    </w:p>
    <w:p w:rsidR="002E1876" w:rsidRDefault="00F26B4A" w:rsidP="002E1876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согласно учетным данным, в республике исходное расчетное поголовье уток на изъятие в 2016 году составило 11669,4 тысячи. Согласно утвержденным нормативам изъятия 15%, допустимо изъятие 1750,4 тысячи, однако охотпользователями заявлено меньше – 1175,0 тысячи, что составило только 10% вместо норматива 15%. При этом, утвержден к изъятию лимит 650,0 тысяч – только </w:t>
      </w:r>
      <w:r w:rsidRPr="00F26B4A">
        <w:rPr>
          <w:rFonts w:ascii="Times New Roman" w:hAnsi="Times New Roman" w:cs="Times New Roman"/>
          <w:b/>
          <w:sz w:val="28"/>
          <w:szCs w:val="28"/>
        </w:rPr>
        <w:t>5,6%</w:t>
      </w:r>
      <w:r>
        <w:rPr>
          <w:rFonts w:ascii="Times New Roman" w:hAnsi="Times New Roman" w:cs="Times New Roman"/>
          <w:sz w:val="28"/>
          <w:szCs w:val="28"/>
        </w:rPr>
        <w:t xml:space="preserve">, то есть срезан почти в два раза. Согласно тем же нормативам изъятия, </w:t>
      </w:r>
      <w:r w:rsidR="002E1876">
        <w:rPr>
          <w:rFonts w:ascii="Times New Roman" w:hAnsi="Times New Roman" w:cs="Times New Roman"/>
          <w:sz w:val="28"/>
          <w:szCs w:val="28"/>
        </w:rPr>
        <w:t xml:space="preserve">селезней весной разрешено к добыче не более 5% общего лимита. </w:t>
      </w:r>
      <w:r w:rsidR="002E18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 получаем 32,5 тысячи особей на всю республику, или </w:t>
      </w:r>
      <w:r w:rsidR="002E1876" w:rsidRPr="002E18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0,27</w:t>
      </w:r>
      <w:r w:rsidR="002E1876">
        <w:rPr>
          <w:rFonts w:ascii="Times New Roman" w:hAnsi="Times New Roman" w:cs="Times New Roman"/>
          <w:bCs/>
          <w:color w:val="000000"/>
          <w:sz w:val="28"/>
          <w:szCs w:val="28"/>
        </w:rPr>
        <w:t>% от общей численности утки, что в 4 раза меньше даже 1%. Следует отметить, что смертность птиц по естественным причинам во много раз выше.</w:t>
      </w:r>
    </w:p>
    <w:p w:rsidR="00F26B4A" w:rsidRDefault="002E1876" w:rsidP="00031D8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тетеревам и глухарю та же самая картина. Заявлено тетеревов 8,3% (16,5 тысяч) при нормативе 15% (29,6 тысяч), что уже в два раза ниже. Но урезан лимит еще на 25% - до 6,2% от общей численности (12,2 тысячи особей). </w:t>
      </w:r>
      <w:r w:rsidR="0009278D">
        <w:rPr>
          <w:rFonts w:ascii="Times New Roman" w:hAnsi="Times New Roman" w:cs="Times New Roman"/>
          <w:sz w:val="28"/>
          <w:szCs w:val="28"/>
        </w:rPr>
        <w:t>При норме изъятия глухаря 5% (203 особи) заявлено только 2,9% (117 птиц), но утверждено 1,2% (51 особь).</w:t>
      </w:r>
    </w:p>
    <w:p w:rsidR="0009278D" w:rsidRDefault="0009278D" w:rsidP="00031D8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сведены в таблицу:</w:t>
      </w:r>
    </w:p>
    <w:p w:rsidR="00907446" w:rsidRDefault="00907446" w:rsidP="00031D8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760E" w:rsidRDefault="0009278D" w:rsidP="0009278D">
      <w:pPr>
        <w:pStyle w:val="a3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Изъятие поголовья утки, тетерева и глухаря в 2016 году</w:t>
      </w:r>
    </w:p>
    <w:tbl>
      <w:tblPr>
        <w:tblStyle w:val="a5"/>
        <w:tblW w:w="10029" w:type="dxa"/>
        <w:tblInd w:w="-572" w:type="dxa"/>
        <w:tblLayout w:type="fixed"/>
        <w:tblLook w:val="04A0"/>
      </w:tblPr>
      <w:tblGrid>
        <w:gridCol w:w="1051"/>
        <w:gridCol w:w="1360"/>
        <w:gridCol w:w="1235"/>
        <w:gridCol w:w="1235"/>
        <w:gridCol w:w="1334"/>
        <w:gridCol w:w="1157"/>
        <w:gridCol w:w="1559"/>
        <w:gridCol w:w="1098"/>
      </w:tblGrid>
      <w:tr w:rsidR="00886CEC" w:rsidRPr="00886CEC" w:rsidTr="00907446">
        <w:tc>
          <w:tcPr>
            <w:tcW w:w="1051" w:type="dxa"/>
          </w:tcPr>
          <w:p w:rsidR="00886CEC" w:rsidRPr="00886CEC" w:rsidRDefault="00886CEC" w:rsidP="00031D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 дичи</w:t>
            </w:r>
          </w:p>
        </w:tc>
        <w:tc>
          <w:tcPr>
            <w:tcW w:w="1360" w:type="dxa"/>
          </w:tcPr>
          <w:p w:rsidR="00886CEC" w:rsidRPr="00886CEC" w:rsidRDefault="00886CEC" w:rsidP="00031D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Числен</w:t>
            </w:r>
            <w:r w:rsidR="009074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ность </w:t>
            </w:r>
          </w:p>
        </w:tc>
        <w:tc>
          <w:tcPr>
            <w:tcW w:w="1235" w:type="dxa"/>
          </w:tcPr>
          <w:p w:rsidR="00886CEC" w:rsidRPr="00886CEC" w:rsidRDefault="00886CEC" w:rsidP="00031D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 изъятия, %</w:t>
            </w:r>
          </w:p>
        </w:tc>
        <w:tc>
          <w:tcPr>
            <w:tcW w:w="1235" w:type="dxa"/>
          </w:tcPr>
          <w:p w:rsidR="00886CEC" w:rsidRPr="00886CEC" w:rsidRDefault="00886CEC" w:rsidP="00031D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 изъятия, особей</w:t>
            </w:r>
          </w:p>
        </w:tc>
        <w:tc>
          <w:tcPr>
            <w:tcW w:w="1334" w:type="dxa"/>
          </w:tcPr>
          <w:p w:rsidR="00886CEC" w:rsidRPr="00886CEC" w:rsidRDefault="00886CEC" w:rsidP="00907446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Заявлено охотполь</w:t>
            </w:r>
            <w:r w:rsidR="009074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157" w:type="dxa"/>
          </w:tcPr>
          <w:p w:rsidR="00886CEC" w:rsidRPr="00886CEC" w:rsidRDefault="00886CEC" w:rsidP="00031D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Заявлен</w:t>
            </w:r>
            <w:r w:rsidR="009074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процент</w:t>
            </w:r>
          </w:p>
        </w:tc>
        <w:tc>
          <w:tcPr>
            <w:tcW w:w="1559" w:type="dxa"/>
          </w:tcPr>
          <w:p w:rsidR="00886CEC" w:rsidRPr="00886CEC" w:rsidRDefault="00886CEC" w:rsidP="00031D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</w:t>
            </w:r>
            <w:r w:rsidR="009074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лимит</w:t>
            </w:r>
          </w:p>
        </w:tc>
        <w:tc>
          <w:tcPr>
            <w:tcW w:w="1098" w:type="dxa"/>
          </w:tcPr>
          <w:p w:rsidR="00886CEC" w:rsidRPr="00886CEC" w:rsidRDefault="00886CEC" w:rsidP="00031D82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 изъятия</w:t>
            </w:r>
          </w:p>
        </w:tc>
      </w:tr>
      <w:tr w:rsidR="00886CEC" w:rsidRPr="00886CEC" w:rsidTr="00907446">
        <w:tc>
          <w:tcPr>
            <w:tcW w:w="1051" w:type="dxa"/>
          </w:tcPr>
          <w:p w:rsidR="00886CEC" w:rsidRPr="00886CEC" w:rsidRDefault="00886CEC" w:rsidP="00886CE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Утка</w:t>
            </w:r>
          </w:p>
        </w:tc>
        <w:tc>
          <w:tcPr>
            <w:tcW w:w="1360" w:type="dxa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11 669 414</w:t>
            </w:r>
          </w:p>
        </w:tc>
        <w:tc>
          <w:tcPr>
            <w:tcW w:w="1235" w:type="dxa"/>
          </w:tcPr>
          <w:p w:rsidR="00886CEC" w:rsidRPr="00203429" w:rsidRDefault="00203429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5" w:type="dxa"/>
          </w:tcPr>
          <w:p w:rsidR="00886CEC" w:rsidRPr="00203429" w:rsidRDefault="00203429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1 750 412</w:t>
            </w:r>
          </w:p>
        </w:tc>
        <w:tc>
          <w:tcPr>
            <w:tcW w:w="1334" w:type="dxa"/>
            <w:vAlign w:val="center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1 175 037</w:t>
            </w:r>
          </w:p>
        </w:tc>
        <w:tc>
          <w:tcPr>
            <w:tcW w:w="1157" w:type="dxa"/>
            <w:vAlign w:val="center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10,1</w:t>
            </w:r>
          </w:p>
        </w:tc>
        <w:tc>
          <w:tcPr>
            <w:tcW w:w="1559" w:type="dxa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650 078</w:t>
            </w:r>
          </w:p>
        </w:tc>
        <w:tc>
          <w:tcPr>
            <w:tcW w:w="1098" w:type="dxa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</w:tr>
      <w:tr w:rsidR="00886CEC" w:rsidRPr="00886CEC" w:rsidTr="00907446">
        <w:tc>
          <w:tcPr>
            <w:tcW w:w="1051" w:type="dxa"/>
          </w:tcPr>
          <w:p w:rsidR="00886CEC" w:rsidRPr="00886CEC" w:rsidRDefault="00886CEC" w:rsidP="00886CE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Тетерев</w:t>
            </w:r>
          </w:p>
        </w:tc>
        <w:tc>
          <w:tcPr>
            <w:tcW w:w="1360" w:type="dxa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197 545</w:t>
            </w:r>
          </w:p>
        </w:tc>
        <w:tc>
          <w:tcPr>
            <w:tcW w:w="1235" w:type="dxa"/>
          </w:tcPr>
          <w:p w:rsidR="00886CEC" w:rsidRPr="00203429" w:rsidRDefault="00203429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35" w:type="dxa"/>
          </w:tcPr>
          <w:p w:rsidR="00886CEC" w:rsidRPr="00203429" w:rsidRDefault="00203429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29 632</w:t>
            </w:r>
          </w:p>
        </w:tc>
        <w:tc>
          <w:tcPr>
            <w:tcW w:w="1334" w:type="dxa"/>
            <w:vAlign w:val="center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16 485</w:t>
            </w:r>
          </w:p>
        </w:tc>
        <w:tc>
          <w:tcPr>
            <w:tcW w:w="1157" w:type="dxa"/>
            <w:vAlign w:val="center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  <w:tc>
          <w:tcPr>
            <w:tcW w:w="1559" w:type="dxa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12 288</w:t>
            </w:r>
          </w:p>
        </w:tc>
        <w:tc>
          <w:tcPr>
            <w:tcW w:w="1098" w:type="dxa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</w:tc>
      </w:tr>
      <w:tr w:rsidR="00886CEC" w:rsidRPr="00886CEC" w:rsidTr="00907446">
        <w:tc>
          <w:tcPr>
            <w:tcW w:w="1051" w:type="dxa"/>
          </w:tcPr>
          <w:p w:rsidR="00886CEC" w:rsidRPr="00886CEC" w:rsidRDefault="00886CEC" w:rsidP="00886CEC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C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Глухарь</w:t>
            </w:r>
          </w:p>
        </w:tc>
        <w:tc>
          <w:tcPr>
            <w:tcW w:w="1360" w:type="dxa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4 061</w:t>
            </w:r>
          </w:p>
        </w:tc>
        <w:tc>
          <w:tcPr>
            <w:tcW w:w="1235" w:type="dxa"/>
          </w:tcPr>
          <w:p w:rsidR="00886CEC" w:rsidRPr="00203429" w:rsidRDefault="00203429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:rsidR="00886CEC" w:rsidRPr="00203429" w:rsidRDefault="00203429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334" w:type="dxa"/>
            <w:vAlign w:val="center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157" w:type="dxa"/>
            <w:vAlign w:val="center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1559" w:type="dxa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098" w:type="dxa"/>
          </w:tcPr>
          <w:p w:rsidR="00886CEC" w:rsidRPr="00203429" w:rsidRDefault="00886CEC" w:rsidP="0020342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29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</w:tbl>
    <w:p w:rsidR="00A00B20" w:rsidRDefault="00A00B20" w:rsidP="00031D82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611CB8" w:rsidRDefault="00611CB8" w:rsidP="00611C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Попытки ввести запрет на весеннюю охоту основываются на рекомендациях </w:t>
      </w:r>
      <w:r>
        <w:rPr>
          <w:rFonts w:ascii="Times New Roman" w:hAnsi="Times New Roman" w:cs="Times New Roman"/>
          <w:sz w:val="28"/>
          <w:szCs w:val="28"/>
        </w:rPr>
        <w:t>Биологического обоснования</w:t>
      </w:r>
      <w:r w:rsidRPr="00611CB8">
        <w:rPr>
          <w:rFonts w:ascii="Times New Roman" w:hAnsi="Times New Roman" w:cs="Times New Roman"/>
          <w:sz w:val="28"/>
          <w:szCs w:val="28"/>
        </w:rPr>
        <w:t xml:space="preserve"> вве</w:t>
      </w:r>
      <w:r w:rsidR="0073208E">
        <w:rPr>
          <w:rFonts w:ascii="Times New Roman" w:hAnsi="Times New Roman" w:cs="Times New Roman"/>
          <w:sz w:val="28"/>
          <w:szCs w:val="28"/>
        </w:rPr>
        <w:t xml:space="preserve">дения запрета весенней </w:t>
      </w:r>
      <w:r w:rsidR="0073208E">
        <w:rPr>
          <w:rFonts w:ascii="Times New Roman" w:hAnsi="Times New Roman" w:cs="Times New Roman"/>
          <w:sz w:val="28"/>
          <w:szCs w:val="28"/>
        </w:rPr>
        <w:lastRenderedPageBreak/>
        <w:t>охоты в К</w:t>
      </w:r>
      <w:r w:rsidRPr="00611CB8">
        <w:rPr>
          <w:rFonts w:ascii="Times New Roman" w:hAnsi="Times New Roman" w:cs="Times New Roman"/>
          <w:sz w:val="28"/>
          <w:szCs w:val="28"/>
        </w:rPr>
        <w:t>азахстан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1CB8">
        <w:rPr>
          <w:rFonts w:ascii="Times New Roman" w:hAnsi="Times New Roman" w:cs="Times New Roman"/>
          <w:sz w:val="28"/>
          <w:szCs w:val="28"/>
        </w:rPr>
        <w:t>, подготовленно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11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 «А</w:t>
      </w:r>
      <w:r w:rsidRPr="00611CB8">
        <w:rPr>
          <w:rFonts w:ascii="Times New Roman" w:hAnsi="Times New Roman" w:cs="Times New Roman"/>
          <w:sz w:val="28"/>
          <w:szCs w:val="28"/>
        </w:rPr>
        <w:t xml:space="preserve">ссоциацией сохранения биоразнообразия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11CB8">
        <w:rPr>
          <w:rFonts w:ascii="Times New Roman" w:hAnsi="Times New Roman" w:cs="Times New Roman"/>
          <w:sz w:val="28"/>
          <w:szCs w:val="28"/>
        </w:rPr>
        <w:t xml:space="preserve">азахстана» и </w:t>
      </w:r>
      <w:r>
        <w:rPr>
          <w:rFonts w:ascii="Times New Roman" w:hAnsi="Times New Roman" w:cs="Times New Roman"/>
          <w:sz w:val="28"/>
          <w:szCs w:val="28"/>
        </w:rPr>
        <w:t xml:space="preserve">РГП «Институт зоологии» КН МОН РК. </w:t>
      </w:r>
    </w:p>
    <w:p w:rsidR="00611CB8" w:rsidRDefault="00611CB8" w:rsidP="00611C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документе</w:t>
      </w:r>
      <w:r w:rsidRPr="00611CB8">
        <w:rPr>
          <w:rFonts w:ascii="Times New Roman" w:hAnsi="Times New Roman" w:cs="Times New Roman"/>
          <w:sz w:val="28"/>
          <w:szCs w:val="28"/>
        </w:rPr>
        <w:t xml:space="preserve"> сказано, что </w:t>
      </w:r>
      <w:r w:rsidRPr="00611CB8">
        <w:rPr>
          <w:rFonts w:ascii="Times New Roman" w:hAnsi="Times New Roman" w:cs="Times New Roman"/>
          <w:sz w:val="28"/>
          <w:szCs w:val="28"/>
          <w:u w:val="single"/>
        </w:rPr>
        <w:t>рациональная эксплуатация ресурсов охотничье-промысловых животных является главным и определяющим средством поддержания оптимальной численности и биологической полноценности популяций</w:t>
      </w:r>
      <w:r w:rsidRPr="00611CB8">
        <w:rPr>
          <w:rFonts w:ascii="Times New Roman" w:hAnsi="Times New Roman" w:cs="Times New Roman"/>
          <w:sz w:val="28"/>
          <w:szCs w:val="28"/>
        </w:rPr>
        <w:t xml:space="preserve">. </w:t>
      </w:r>
      <w:r w:rsidR="00EE7146">
        <w:rPr>
          <w:rFonts w:ascii="Times New Roman" w:hAnsi="Times New Roman" w:cs="Times New Roman"/>
          <w:sz w:val="28"/>
          <w:szCs w:val="28"/>
        </w:rPr>
        <w:t xml:space="preserve">– То есть именно рациональная эксплуатация, а не отсутствие какой-либо эксплуатации вообще. </w:t>
      </w:r>
      <w:r>
        <w:rPr>
          <w:rFonts w:ascii="Times New Roman" w:hAnsi="Times New Roman" w:cs="Times New Roman"/>
          <w:sz w:val="28"/>
          <w:szCs w:val="28"/>
        </w:rPr>
        <w:t>При этом, необоснованно утверждается, что о</w:t>
      </w:r>
      <w:r w:rsidRPr="00611CB8">
        <w:rPr>
          <w:rFonts w:ascii="Times New Roman" w:hAnsi="Times New Roman" w:cs="Times New Roman"/>
          <w:sz w:val="28"/>
          <w:szCs w:val="28"/>
        </w:rPr>
        <w:t xml:space="preserve">дним из факторов, мешающих в современных условиях организации рационального использования ресурсов дичи, является весенняя охота. </w:t>
      </w:r>
      <w:r>
        <w:rPr>
          <w:rFonts w:ascii="Times New Roman" w:hAnsi="Times New Roman" w:cs="Times New Roman"/>
          <w:sz w:val="28"/>
          <w:szCs w:val="28"/>
        </w:rPr>
        <w:t>Но даже при преследовании цели обосновать необходимость запрета проведения весенней охоты, многие приводимые доводы либо имеют двоякое толкование, либо противоречат самой цели.</w:t>
      </w:r>
    </w:p>
    <w:p w:rsidR="00507FB9" w:rsidRPr="00D26961" w:rsidRDefault="00D26961" w:rsidP="00D269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приводится пример прямой зависимости изменения численности водоплавающей дичи с цикличностью наполнения и усыхания водоемов в</w:t>
      </w:r>
      <w:r w:rsidR="00507FB9" w:rsidRPr="00D26961">
        <w:rPr>
          <w:rFonts w:ascii="Times New Roman" w:hAnsi="Times New Roman" w:cs="Times New Roman"/>
          <w:sz w:val="28"/>
          <w:szCs w:val="28"/>
        </w:rPr>
        <w:t xml:space="preserve"> северных и центральных областях.</w:t>
      </w:r>
      <w:r>
        <w:rPr>
          <w:rFonts w:ascii="Times New Roman" w:hAnsi="Times New Roman" w:cs="Times New Roman"/>
          <w:sz w:val="28"/>
          <w:szCs w:val="28"/>
        </w:rPr>
        <w:t xml:space="preserve"> То есть количество утиных ресурсов уже связывают, в основном, с наполнением водоемов, а не </w:t>
      </w:r>
      <w:r w:rsidR="00EE714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охотой.</w:t>
      </w:r>
      <w:r w:rsidR="00507FB9" w:rsidRPr="00D26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FB9" w:rsidRPr="00D26961" w:rsidRDefault="00507FB9" w:rsidP="00D269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61">
        <w:rPr>
          <w:rFonts w:ascii="Times New Roman" w:hAnsi="Times New Roman" w:cs="Times New Roman"/>
          <w:sz w:val="28"/>
          <w:szCs w:val="28"/>
        </w:rPr>
        <w:t>Ежегодный прирост популяции у разных видов</w:t>
      </w:r>
      <w:r w:rsidR="00D26961">
        <w:rPr>
          <w:rFonts w:ascii="Times New Roman" w:hAnsi="Times New Roman" w:cs="Times New Roman"/>
          <w:sz w:val="28"/>
          <w:szCs w:val="28"/>
        </w:rPr>
        <w:t xml:space="preserve"> уток</w:t>
      </w:r>
      <w:r w:rsidRPr="00D26961">
        <w:rPr>
          <w:rFonts w:ascii="Times New Roman" w:hAnsi="Times New Roman" w:cs="Times New Roman"/>
          <w:sz w:val="28"/>
          <w:szCs w:val="28"/>
        </w:rPr>
        <w:t xml:space="preserve"> составляет 30-150%.</w:t>
      </w:r>
      <w:r w:rsidR="00C34282">
        <w:rPr>
          <w:rFonts w:ascii="Times New Roman" w:hAnsi="Times New Roman" w:cs="Times New Roman"/>
          <w:sz w:val="28"/>
          <w:szCs w:val="28"/>
        </w:rPr>
        <w:t xml:space="preserve"> И это</w:t>
      </w:r>
      <w:r w:rsidR="00D26961">
        <w:rPr>
          <w:rFonts w:ascii="Times New Roman" w:hAnsi="Times New Roman" w:cs="Times New Roman"/>
          <w:sz w:val="28"/>
          <w:szCs w:val="28"/>
        </w:rPr>
        <w:t xml:space="preserve">, как указывалось выше, </w:t>
      </w:r>
      <w:r w:rsidR="00C34282">
        <w:rPr>
          <w:rFonts w:ascii="Times New Roman" w:hAnsi="Times New Roman" w:cs="Times New Roman"/>
          <w:sz w:val="28"/>
          <w:szCs w:val="28"/>
        </w:rPr>
        <w:t xml:space="preserve">против заявленных 10% изъятия всего (и менее </w:t>
      </w:r>
      <w:r w:rsidR="00C34282" w:rsidRPr="00C34282">
        <w:rPr>
          <w:rFonts w:ascii="Times New Roman" w:hAnsi="Times New Roman" w:cs="Times New Roman"/>
          <w:b/>
          <w:sz w:val="28"/>
          <w:szCs w:val="28"/>
        </w:rPr>
        <w:t>1%</w:t>
      </w:r>
      <w:r w:rsidR="00C34282">
        <w:rPr>
          <w:rFonts w:ascii="Times New Roman" w:hAnsi="Times New Roman" w:cs="Times New Roman"/>
          <w:sz w:val="28"/>
          <w:szCs w:val="28"/>
        </w:rPr>
        <w:t xml:space="preserve"> весной) – довольно серьезная разница, демонстрирующая неполное использование возможностей изъятия.</w:t>
      </w:r>
    </w:p>
    <w:p w:rsidR="00C34282" w:rsidRDefault="00C34282" w:rsidP="00D269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Попытка сопоставления </w:t>
      </w:r>
      <w:r w:rsidR="00257E0F" w:rsidRPr="00D26961">
        <w:rPr>
          <w:rFonts w:ascii="Times New Roman" w:hAnsi="Times New Roman" w:cs="Times New Roman"/>
          <w:sz w:val="28"/>
          <w:szCs w:val="28"/>
        </w:rPr>
        <w:t>учетных данных охотпользователей</w:t>
      </w:r>
      <w:r w:rsidR="00257E0F" w:rsidRPr="00D26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E0F" w:rsidRPr="00D26961">
        <w:rPr>
          <w:rFonts w:ascii="Times New Roman" w:hAnsi="Times New Roman" w:cs="Times New Roman"/>
          <w:sz w:val="28"/>
          <w:szCs w:val="28"/>
        </w:rPr>
        <w:t>с оценкой</w:t>
      </w:r>
      <w:r>
        <w:rPr>
          <w:rFonts w:ascii="Times New Roman" w:hAnsi="Times New Roman" w:cs="Times New Roman"/>
          <w:sz w:val="28"/>
          <w:szCs w:val="28"/>
        </w:rPr>
        <w:t xml:space="preserve"> общей численности </w:t>
      </w:r>
      <w:r w:rsidR="00257E0F" w:rsidRPr="00D26961">
        <w:rPr>
          <w:rFonts w:ascii="Times New Roman" w:hAnsi="Times New Roman" w:cs="Times New Roman"/>
          <w:sz w:val="28"/>
          <w:szCs w:val="28"/>
        </w:rPr>
        <w:t>речных и нырковых уток по аналогии с гусями</w:t>
      </w:r>
      <w:r>
        <w:rPr>
          <w:rFonts w:ascii="Times New Roman" w:hAnsi="Times New Roman" w:cs="Times New Roman"/>
          <w:sz w:val="28"/>
          <w:szCs w:val="28"/>
        </w:rPr>
        <w:t xml:space="preserve">, предполагает </w:t>
      </w:r>
      <w:r w:rsidRPr="00D26961">
        <w:rPr>
          <w:rFonts w:ascii="Times New Roman" w:hAnsi="Times New Roman" w:cs="Times New Roman"/>
          <w:sz w:val="28"/>
          <w:szCs w:val="28"/>
        </w:rPr>
        <w:t>завышен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="001C68EF">
        <w:rPr>
          <w:rFonts w:ascii="Times New Roman" w:hAnsi="Times New Roman" w:cs="Times New Roman"/>
          <w:sz w:val="28"/>
          <w:szCs w:val="28"/>
        </w:rPr>
        <w:t>общих результатов учета</w:t>
      </w:r>
      <w:r w:rsidRPr="00D26961">
        <w:rPr>
          <w:rFonts w:ascii="Times New Roman" w:hAnsi="Times New Roman" w:cs="Times New Roman"/>
          <w:sz w:val="28"/>
          <w:szCs w:val="28"/>
        </w:rPr>
        <w:t xml:space="preserve"> на 50-70%.</w:t>
      </w:r>
      <w:r>
        <w:rPr>
          <w:rFonts w:ascii="Times New Roman" w:hAnsi="Times New Roman" w:cs="Times New Roman"/>
          <w:sz w:val="28"/>
          <w:szCs w:val="28"/>
        </w:rPr>
        <w:t xml:space="preserve"> Но ведь это </w:t>
      </w:r>
      <w:r w:rsidR="001C68EF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предположение. И если по учету гусей более или менее масштабная работа проводилась, то по уткам – нет.</w:t>
      </w:r>
      <w:r w:rsidR="001C68EF">
        <w:rPr>
          <w:rFonts w:ascii="Times New Roman" w:hAnsi="Times New Roman" w:cs="Times New Roman"/>
          <w:sz w:val="28"/>
          <w:szCs w:val="28"/>
        </w:rPr>
        <w:t xml:space="preserve"> А ведь северную половину Казахстана здесь же условно назвали производящей и поддерживающей утиные ресурсы. К тому же, </w:t>
      </w:r>
      <w:r w:rsidR="00EE7146">
        <w:rPr>
          <w:rFonts w:ascii="Times New Roman" w:hAnsi="Times New Roman" w:cs="Times New Roman"/>
          <w:sz w:val="28"/>
          <w:szCs w:val="28"/>
        </w:rPr>
        <w:t>в этом же биообосновании,</w:t>
      </w:r>
      <w:r w:rsidR="001C68EF">
        <w:rPr>
          <w:rFonts w:ascii="Times New Roman" w:hAnsi="Times New Roman" w:cs="Times New Roman"/>
          <w:sz w:val="28"/>
          <w:szCs w:val="28"/>
        </w:rPr>
        <w:t xml:space="preserve"> выше указывалась более высокая экологическая пластичность и устойчивость к факторам беспокойства у уток, чем у гусей.</w:t>
      </w:r>
      <w:r w:rsidR="00310031">
        <w:rPr>
          <w:rFonts w:ascii="Times New Roman" w:hAnsi="Times New Roman" w:cs="Times New Roman"/>
          <w:sz w:val="28"/>
          <w:szCs w:val="28"/>
        </w:rPr>
        <w:t xml:space="preserve"> Таким образом, данный довод не может быть принят в качестве аргумента.</w:t>
      </w:r>
      <w:r w:rsidR="00EB3ADB">
        <w:rPr>
          <w:rFonts w:ascii="Times New Roman" w:hAnsi="Times New Roman" w:cs="Times New Roman"/>
          <w:sz w:val="28"/>
          <w:szCs w:val="28"/>
        </w:rPr>
        <w:t xml:space="preserve"> Эту же точку зрения,</w:t>
      </w:r>
      <w:r w:rsidR="00EB3ADB" w:rsidRPr="00EB3ADB">
        <w:rPr>
          <w:rFonts w:ascii="Times New Roman" w:hAnsi="Times New Roman" w:cs="Times New Roman"/>
          <w:sz w:val="28"/>
          <w:szCs w:val="28"/>
        </w:rPr>
        <w:t xml:space="preserve"> </w:t>
      </w:r>
      <w:r w:rsidR="00EB3ADB">
        <w:rPr>
          <w:rFonts w:ascii="Times New Roman" w:hAnsi="Times New Roman" w:cs="Times New Roman"/>
          <w:sz w:val="28"/>
          <w:szCs w:val="28"/>
        </w:rPr>
        <w:t>противоположную введению запрета на весеннюю охоту, подтверждает довод об отсутствии объективных ежегодных данных о реальной численности обитающих в Казахстане видов птиц, относящихся к категории водоплавающей дичи.</w:t>
      </w:r>
    </w:p>
    <w:p w:rsidR="00953725" w:rsidRPr="00511118" w:rsidRDefault="00953725" w:rsidP="00217BA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118">
        <w:rPr>
          <w:rFonts w:ascii="Times New Roman" w:hAnsi="Times New Roman" w:cs="Times New Roman"/>
          <w:sz w:val="28"/>
          <w:szCs w:val="28"/>
        </w:rPr>
        <w:t xml:space="preserve">Доводы недостаточного </w:t>
      </w:r>
      <w:r w:rsidR="00511118">
        <w:rPr>
          <w:rFonts w:ascii="Times New Roman" w:hAnsi="Times New Roman" w:cs="Times New Roman"/>
          <w:sz w:val="28"/>
          <w:szCs w:val="28"/>
        </w:rPr>
        <w:t>уровня</w:t>
      </w:r>
      <w:r w:rsidR="00511118" w:rsidRPr="00511118">
        <w:rPr>
          <w:rFonts w:ascii="Times New Roman" w:hAnsi="Times New Roman" w:cs="Times New Roman"/>
          <w:sz w:val="28"/>
          <w:szCs w:val="28"/>
        </w:rPr>
        <w:t xml:space="preserve"> квалификации егерского состава охотничьих хозяйств</w:t>
      </w:r>
      <w:r w:rsidR="00511118">
        <w:rPr>
          <w:rFonts w:ascii="Times New Roman" w:hAnsi="Times New Roman" w:cs="Times New Roman"/>
          <w:sz w:val="28"/>
          <w:szCs w:val="28"/>
        </w:rPr>
        <w:t xml:space="preserve"> и </w:t>
      </w:r>
      <w:r w:rsidR="00511118" w:rsidRPr="00511118">
        <w:rPr>
          <w:rFonts w:ascii="Times New Roman" w:hAnsi="Times New Roman" w:cs="Times New Roman"/>
          <w:sz w:val="28"/>
          <w:szCs w:val="28"/>
        </w:rPr>
        <w:t>невозможност</w:t>
      </w:r>
      <w:r w:rsidR="00511118">
        <w:rPr>
          <w:rFonts w:ascii="Times New Roman" w:hAnsi="Times New Roman" w:cs="Times New Roman"/>
          <w:sz w:val="28"/>
          <w:szCs w:val="28"/>
        </w:rPr>
        <w:t>и</w:t>
      </w:r>
      <w:r w:rsidR="00511118" w:rsidRPr="00511118">
        <w:rPr>
          <w:rFonts w:ascii="Times New Roman" w:hAnsi="Times New Roman" w:cs="Times New Roman"/>
          <w:sz w:val="28"/>
          <w:szCs w:val="28"/>
        </w:rPr>
        <w:t xml:space="preserve"> обеспечения эффективного контроля</w:t>
      </w:r>
      <w:r w:rsidR="00511118">
        <w:rPr>
          <w:rFonts w:ascii="Times New Roman" w:hAnsi="Times New Roman" w:cs="Times New Roman"/>
          <w:sz w:val="28"/>
          <w:szCs w:val="28"/>
        </w:rPr>
        <w:t xml:space="preserve"> за проведением охоты – это не причины закрытия охоты вообще и тем самым замалчивания проблемы, а причины необходимости разрешения этих проблем и тем самым развития охотхозяйственной сферы.</w:t>
      </w:r>
      <w:r w:rsidR="00217BA2">
        <w:rPr>
          <w:rFonts w:ascii="Times New Roman" w:hAnsi="Times New Roman" w:cs="Times New Roman"/>
          <w:sz w:val="28"/>
          <w:szCs w:val="28"/>
        </w:rPr>
        <w:t xml:space="preserve"> – и т.д.</w:t>
      </w:r>
      <w:r w:rsidR="00511118">
        <w:rPr>
          <w:rFonts w:ascii="Times New Roman" w:hAnsi="Times New Roman" w:cs="Times New Roman"/>
          <w:sz w:val="28"/>
          <w:szCs w:val="28"/>
        </w:rPr>
        <w:t xml:space="preserve"> </w:t>
      </w:r>
      <w:r w:rsidR="00511118" w:rsidRPr="00511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CD4" w:rsidRDefault="00D57CD4" w:rsidP="00EB3A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того, что некоторые данные по численности видов животных и объема их изъятия не соответствуют данным, приведенным в биологическом обосновании к проекту лимитов изъятия видов животных, являющихся объектами охоты на период с 15.02.2016г. по 15.02.2017г. включительно, подготовленного ТОО «НИИ Животного мира» и прошедшего экологическую экспертизу, при дальнейших расчетах за основу</w:t>
      </w:r>
      <w:r w:rsidRPr="00D57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будем брать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данные последнего документа.</w:t>
      </w:r>
      <w:r w:rsidRPr="00D26961">
        <w:rPr>
          <w:rFonts w:ascii="Times New Roman" w:hAnsi="Times New Roman" w:cs="Times New Roman"/>
          <w:sz w:val="28"/>
          <w:szCs w:val="28"/>
        </w:rPr>
        <w:t xml:space="preserve"> </w:t>
      </w:r>
      <w:r w:rsidR="0054644F">
        <w:rPr>
          <w:rFonts w:ascii="Times New Roman" w:hAnsi="Times New Roman" w:cs="Times New Roman"/>
          <w:sz w:val="28"/>
          <w:szCs w:val="28"/>
        </w:rPr>
        <w:t>Расчеты приведены по основным массовым видам птиц – утка и тетерев.</w:t>
      </w:r>
    </w:p>
    <w:p w:rsidR="00AD4E91" w:rsidRDefault="00AD4E91">
      <w:pPr>
        <w:spacing w:after="160" w:line="259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54644F">
        <w:rPr>
          <w:rFonts w:ascii="Times New Roman" w:hAnsi="Times New Roman"/>
          <w:sz w:val="28"/>
          <w:szCs w:val="28"/>
          <w:lang w:val="ru-RU"/>
        </w:rPr>
        <w:br w:type="page"/>
      </w:r>
    </w:p>
    <w:p w:rsidR="0024120D" w:rsidRPr="00D26961" w:rsidRDefault="0024120D" w:rsidP="0024120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Динамика численности уток показывает прогрессию с 10,3 тысяч особей в 2010г. до 11,6 тысяч особей в 2015г. – на 11% (рис.1).</w:t>
      </w:r>
      <w:r w:rsidRPr="00241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этом, т</w:t>
      </w:r>
      <w:r w:rsidRPr="00D26961">
        <w:rPr>
          <w:rFonts w:ascii="Times New Roman" w:hAnsi="Times New Roman" w:cs="Times New Roman"/>
          <w:sz w:val="28"/>
          <w:szCs w:val="28"/>
        </w:rPr>
        <w:t>аблица лимитов изъятия уток показывает стабильное снижение</w:t>
      </w:r>
      <w:r>
        <w:rPr>
          <w:rFonts w:ascii="Times New Roman" w:hAnsi="Times New Roman" w:cs="Times New Roman"/>
          <w:sz w:val="28"/>
          <w:szCs w:val="28"/>
        </w:rPr>
        <w:t xml:space="preserve"> лимита изъятия</w:t>
      </w:r>
      <w:r w:rsidRPr="00D26961">
        <w:rPr>
          <w:rFonts w:ascii="Times New Roman" w:hAnsi="Times New Roman" w:cs="Times New Roman"/>
          <w:sz w:val="28"/>
          <w:szCs w:val="28"/>
        </w:rPr>
        <w:t xml:space="preserve"> с 794,8 </w:t>
      </w:r>
      <w:r>
        <w:rPr>
          <w:rFonts w:ascii="Times New Roman" w:hAnsi="Times New Roman" w:cs="Times New Roman"/>
          <w:sz w:val="28"/>
          <w:szCs w:val="28"/>
        </w:rPr>
        <w:t xml:space="preserve">сотен </w:t>
      </w:r>
      <w:r w:rsidRPr="00D26961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обей</w:t>
      </w:r>
      <w:r w:rsidRPr="00D2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2010г. до 650,0 сотен</w:t>
      </w:r>
      <w:r w:rsidRPr="00D26961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обей</w:t>
      </w:r>
      <w:r w:rsidRPr="00D2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2015г. – на 18</w:t>
      </w:r>
      <w:r w:rsidRPr="00D2696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(рис.2).</w:t>
      </w:r>
    </w:p>
    <w:p w:rsidR="0024120D" w:rsidRDefault="0024120D" w:rsidP="00EB3A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120D" w:rsidRDefault="0024120D" w:rsidP="00EB3A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4120D" w:rsidRDefault="0024120D" w:rsidP="00EB3A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</w:p>
    <w:p w:rsidR="0024120D" w:rsidRDefault="0024120D" w:rsidP="00EB3A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120D" w:rsidRDefault="0024120D" w:rsidP="00EB3A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4120D" w:rsidRDefault="0024120D" w:rsidP="00EB3A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</w:p>
    <w:p w:rsidR="00572E54" w:rsidRDefault="00572E54" w:rsidP="00EB3A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120D" w:rsidRDefault="00572E54" w:rsidP="00EB3A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из таблиц, рост численности уток был стабильным до 2014 года, после чего, в 2015 году, произошел незначительный спад. Тем не менее, средний показатель прироста за 6 лет показал 11%.</w:t>
      </w:r>
      <w:r w:rsidR="0054644F">
        <w:rPr>
          <w:rFonts w:ascii="Times New Roman" w:hAnsi="Times New Roman" w:cs="Times New Roman"/>
          <w:sz w:val="28"/>
          <w:szCs w:val="28"/>
        </w:rPr>
        <w:t xml:space="preserve"> Пресс же охоты</w:t>
      </w:r>
      <w:r>
        <w:rPr>
          <w:rFonts w:ascii="Times New Roman" w:hAnsi="Times New Roman" w:cs="Times New Roman"/>
          <w:sz w:val="28"/>
          <w:szCs w:val="28"/>
        </w:rPr>
        <w:t xml:space="preserve"> стабильно снижался.   </w:t>
      </w:r>
    </w:p>
    <w:p w:rsidR="00AD4E91" w:rsidRDefault="00AD4E91">
      <w:pPr>
        <w:spacing w:after="160" w:line="259" w:lineRule="auto"/>
        <w:rPr>
          <w:rFonts w:ascii="Times New Roman" w:eastAsiaTheme="minorHAnsi" w:hAnsi="Times New Roman" w:cstheme="minorBidi"/>
          <w:sz w:val="28"/>
          <w:szCs w:val="28"/>
          <w:lang w:val="ru-RU"/>
        </w:rPr>
      </w:pPr>
      <w:r w:rsidRPr="00572E54">
        <w:rPr>
          <w:rFonts w:ascii="Times New Roman" w:hAnsi="Times New Roman"/>
          <w:sz w:val="28"/>
          <w:szCs w:val="28"/>
          <w:lang w:val="ru-RU"/>
        </w:rPr>
        <w:br w:type="page"/>
      </w:r>
    </w:p>
    <w:p w:rsidR="00710BD0" w:rsidRDefault="00FF7B46" w:rsidP="007A7F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тетереву </w:t>
      </w:r>
      <w:r w:rsidR="00AD4E91">
        <w:rPr>
          <w:rFonts w:ascii="Times New Roman" w:hAnsi="Times New Roman"/>
          <w:sz w:val="28"/>
          <w:szCs w:val="28"/>
        </w:rPr>
        <w:t xml:space="preserve">численность увеличилась со 145,8 </w:t>
      </w:r>
      <w:r w:rsidR="00AD4E91" w:rsidRPr="00953725">
        <w:rPr>
          <w:rFonts w:ascii="Times New Roman" w:hAnsi="Times New Roman" w:cs="Times New Roman"/>
          <w:sz w:val="28"/>
          <w:szCs w:val="28"/>
        </w:rPr>
        <w:t>тысяч особей</w:t>
      </w:r>
      <w:r w:rsidR="00AD4E91">
        <w:rPr>
          <w:rFonts w:ascii="Times New Roman" w:hAnsi="Times New Roman"/>
          <w:sz w:val="28"/>
          <w:szCs w:val="28"/>
        </w:rPr>
        <w:t xml:space="preserve"> в 2010г. до 197,5</w:t>
      </w:r>
      <w:r w:rsidR="00AD4E91" w:rsidRPr="007A7F43">
        <w:rPr>
          <w:rFonts w:ascii="Times New Roman" w:hAnsi="Times New Roman"/>
          <w:sz w:val="28"/>
          <w:szCs w:val="28"/>
        </w:rPr>
        <w:t xml:space="preserve"> </w:t>
      </w:r>
      <w:r w:rsidR="00AD4E91" w:rsidRPr="00953725">
        <w:rPr>
          <w:rFonts w:ascii="Times New Roman" w:hAnsi="Times New Roman" w:cs="Times New Roman"/>
          <w:sz w:val="28"/>
          <w:szCs w:val="28"/>
        </w:rPr>
        <w:t>тысяч особей</w:t>
      </w:r>
      <w:r w:rsidR="00AD4E91">
        <w:rPr>
          <w:rFonts w:ascii="Times New Roman" w:hAnsi="Times New Roman"/>
          <w:sz w:val="28"/>
          <w:szCs w:val="28"/>
        </w:rPr>
        <w:t xml:space="preserve"> в 2015г. – на 26% (рис.3). В то время как </w:t>
      </w:r>
      <w:r>
        <w:rPr>
          <w:rFonts w:ascii="Times New Roman" w:hAnsi="Times New Roman"/>
          <w:sz w:val="28"/>
          <w:szCs w:val="28"/>
        </w:rPr>
        <w:t xml:space="preserve">добыча снизилась с </w:t>
      </w:r>
      <w:r w:rsidR="00AD4E91">
        <w:rPr>
          <w:rFonts w:ascii="Times New Roman" w:hAnsi="Times New Roman"/>
          <w:sz w:val="28"/>
          <w:szCs w:val="28"/>
        </w:rPr>
        <w:t>16,0</w:t>
      </w:r>
      <w:r>
        <w:rPr>
          <w:rFonts w:ascii="Times New Roman" w:hAnsi="Times New Roman"/>
          <w:sz w:val="28"/>
          <w:szCs w:val="28"/>
        </w:rPr>
        <w:t xml:space="preserve"> </w:t>
      </w:r>
      <w:r w:rsidR="00AD4E91">
        <w:rPr>
          <w:rFonts w:ascii="Times New Roman" w:hAnsi="Times New Roman" w:cs="Times New Roman"/>
          <w:sz w:val="28"/>
          <w:szCs w:val="28"/>
        </w:rPr>
        <w:t>сотен</w:t>
      </w:r>
      <w:r w:rsidR="00953725" w:rsidRPr="00953725">
        <w:rPr>
          <w:rFonts w:ascii="Times New Roman" w:hAnsi="Times New Roman" w:cs="Times New Roman"/>
          <w:sz w:val="28"/>
          <w:szCs w:val="28"/>
        </w:rPr>
        <w:t xml:space="preserve"> особей</w:t>
      </w:r>
      <w:r>
        <w:rPr>
          <w:rFonts w:ascii="Times New Roman" w:hAnsi="Times New Roman"/>
          <w:sz w:val="28"/>
          <w:szCs w:val="28"/>
        </w:rPr>
        <w:t xml:space="preserve"> в 201</w:t>
      </w:r>
      <w:r w:rsidR="00AD4E9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г. до 12,</w:t>
      </w:r>
      <w:r w:rsidR="00AD4E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AD4E91">
        <w:rPr>
          <w:rFonts w:ascii="Times New Roman" w:hAnsi="Times New Roman" w:cs="Times New Roman"/>
          <w:sz w:val="28"/>
          <w:szCs w:val="28"/>
        </w:rPr>
        <w:t>сотен</w:t>
      </w:r>
      <w:r w:rsidR="00953725" w:rsidRPr="00953725">
        <w:rPr>
          <w:rFonts w:ascii="Times New Roman" w:hAnsi="Times New Roman" w:cs="Times New Roman"/>
          <w:sz w:val="28"/>
          <w:szCs w:val="28"/>
        </w:rPr>
        <w:t xml:space="preserve"> особей</w:t>
      </w:r>
      <w:r w:rsidR="00953725">
        <w:rPr>
          <w:rFonts w:ascii="Times New Roman" w:hAnsi="Times New Roman"/>
          <w:sz w:val="28"/>
          <w:szCs w:val="28"/>
        </w:rPr>
        <w:t xml:space="preserve"> в 201</w:t>
      </w:r>
      <w:r w:rsidR="00AD4E91">
        <w:rPr>
          <w:rFonts w:ascii="Times New Roman" w:hAnsi="Times New Roman"/>
          <w:sz w:val="28"/>
          <w:szCs w:val="28"/>
        </w:rPr>
        <w:t>5г. - на 24</w:t>
      </w:r>
      <w:r w:rsidR="00953725">
        <w:rPr>
          <w:rFonts w:ascii="Times New Roman" w:hAnsi="Times New Roman"/>
          <w:sz w:val="28"/>
          <w:szCs w:val="28"/>
        </w:rPr>
        <w:t>%</w:t>
      </w:r>
      <w:r w:rsidR="00AD4E91">
        <w:rPr>
          <w:rFonts w:ascii="Times New Roman" w:hAnsi="Times New Roman"/>
          <w:sz w:val="28"/>
          <w:szCs w:val="28"/>
        </w:rPr>
        <w:t xml:space="preserve"> (рис.4)</w:t>
      </w:r>
      <w:r w:rsidR="00953725">
        <w:rPr>
          <w:rFonts w:ascii="Times New Roman" w:hAnsi="Times New Roman"/>
          <w:sz w:val="28"/>
          <w:szCs w:val="28"/>
        </w:rPr>
        <w:t xml:space="preserve">. </w:t>
      </w:r>
    </w:p>
    <w:p w:rsidR="00AD4E91" w:rsidRDefault="00AD4E91" w:rsidP="007A7F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10BD0" w:rsidRDefault="00710BD0" w:rsidP="007A7F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0BD0" w:rsidRDefault="00AD4E91" w:rsidP="007A7F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3</w:t>
      </w:r>
    </w:p>
    <w:p w:rsidR="00AD4E91" w:rsidRDefault="00AD4E91" w:rsidP="007A7F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10BD0" w:rsidRDefault="00710BD0" w:rsidP="007A7F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4E91" w:rsidRDefault="00AD4E91" w:rsidP="007A7F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4</w:t>
      </w:r>
    </w:p>
    <w:p w:rsidR="00AD4E91" w:rsidRDefault="00AD4E91" w:rsidP="007A7F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7B46" w:rsidRDefault="00AD4E91" w:rsidP="007A7F4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видно, численность</w:t>
      </w:r>
      <w:r w:rsidR="00953725">
        <w:rPr>
          <w:rFonts w:ascii="Times New Roman" w:hAnsi="Times New Roman"/>
          <w:sz w:val="28"/>
          <w:szCs w:val="28"/>
        </w:rPr>
        <w:t xml:space="preserve"> тетерева</w:t>
      </w:r>
      <w:r>
        <w:rPr>
          <w:rFonts w:ascii="Times New Roman" w:hAnsi="Times New Roman"/>
          <w:sz w:val="28"/>
          <w:szCs w:val="28"/>
        </w:rPr>
        <w:t xml:space="preserve"> стабильно увеличивается, несмотря на различное влияние охоты в разные годы. Однако, эти аргументы</w:t>
      </w:r>
      <w:r w:rsidR="00953725">
        <w:rPr>
          <w:rFonts w:ascii="Times New Roman" w:hAnsi="Times New Roman"/>
          <w:sz w:val="28"/>
          <w:szCs w:val="28"/>
        </w:rPr>
        <w:t xml:space="preserve"> не были взяты во внимание</w:t>
      </w:r>
      <w:r w:rsidR="00572E54">
        <w:rPr>
          <w:rFonts w:ascii="Times New Roman" w:hAnsi="Times New Roman"/>
          <w:sz w:val="28"/>
          <w:szCs w:val="28"/>
        </w:rPr>
        <w:t>,</w:t>
      </w:r>
      <w:r w:rsidR="00953725">
        <w:rPr>
          <w:rFonts w:ascii="Times New Roman" w:hAnsi="Times New Roman"/>
          <w:sz w:val="28"/>
          <w:szCs w:val="28"/>
        </w:rPr>
        <w:t xml:space="preserve"> и </w:t>
      </w:r>
      <w:r w:rsidR="002A4617">
        <w:rPr>
          <w:rFonts w:ascii="Times New Roman" w:hAnsi="Times New Roman"/>
          <w:sz w:val="28"/>
          <w:szCs w:val="28"/>
        </w:rPr>
        <w:t xml:space="preserve">также </w:t>
      </w:r>
      <w:r w:rsidR="00953725">
        <w:rPr>
          <w:rFonts w:ascii="Times New Roman" w:hAnsi="Times New Roman"/>
          <w:sz w:val="28"/>
          <w:szCs w:val="28"/>
        </w:rPr>
        <w:t>даны рекомендации по запрету изъятия его в весенний период.</w:t>
      </w:r>
    </w:p>
    <w:p w:rsidR="004F6F29" w:rsidRDefault="004F6F29" w:rsidP="00953725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Для полной картины необходимо сопоставить данные </w:t>
      </w:r>
      <w:r w:rsidR="002A4617">
        <w:rPr>
          <w:rFonts w:ascii="Times New Roman" w:hAnsi="Times New Roman"/>
          <w:bCs/>
          <w:color w:val="000000"/>
          <w:sz w:val="28"/>
          <w:szCs w:val="28"/>
          <w:lang w:val="ru-RU"/>
        </w:rPr>
        <w:t>о количестве закрепленных охотничьих хозяйств, проводящих учеты интересуемых видов, и общей численности дичи. Так как за последние три года наблюдается тенденция отказа многих субъектов охотничьих хозяйств от части закрепленной территории</w:t>
      </w:r>
      <w:r w:rsidR="0073208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 связи с усилением пресса со стороны </w:t>
      </w:r>
      <w:r w:rsidR="0073208E">
        <w:rPr>
          <w:rFonts w:ascii="Times New Roman" w:hAnsi="Times New Roman"/>
          <w:bCs/>
          <w:color w:val="000000"/>
          <w:sz w:val="28"/>
          <w:szCs w:val="28"/>
          <w:lang w:val="ru-RU"/>
        </w:rPr>
        <w:lastRenderedPageBreak/>
        <w:t>государства</w:t>
      </w:r>
      <w:r w:rsidR="002A4617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. Сокращение количества закрепленных охотхозяйств ведет к сокращению получаемых учетных данных и, следовательно, искажает картину динамики численности. </w:t>
      </w:r>
    </w:p>
    <w:p w:rsidR="0073208E" w:rsidRDefault="0073208E" w:rsidP="00953725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73208E" w:rsidRDefault="0073208E" w:rsidP="00953725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Вывод: </w:t>
      </w:r>
    </w:p>
    <w:p w:rsidR="0073208E" w:rsidRDefault="0073208E" w:rsidP="00953725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1. Доля изъятия птиц в период весенней охоты ничтожна мала – менее 1%;</w:t>
      </w:r>
    </w:p>
    <w:p w:rsidR="0073208E" w:rsidRDefault="0073208E" w:rsidP="00953725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2. Весенняя охота (и охота вообще) не является сколько-нибудь существенной причиной снижения численности уток, тетерева и глухаря;</w:t>
      </w:r>
    </w:p>
    <w:p w:rsidR="0073208E" w:rsidRDefault="0073208E" w:rsidP="0095372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sz w:val="28"/>
          <w:szCs w:val="28"/>
          <w:lang w:val="ru-RU"/>
        </w:rPr>
        <w:t>Биологическое</w:t>
      </w:r>
      <w:r w:rsidRPr="0073208E">
        <w:rPr>
          <w:rFonts w:ascii="Times New Roman" w:hAnsi="Times New Roman"/>
          <w:sz w:val="28"/>
          <w:szCs w:val="28"/>
          <w:lang w:val="ru-RU"/>
        </w:rPr>
        <w:t xml:space="preserve"> обосновани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73208E">
        <w:rPr>
          <w:rFonts w:ascii="Times New Roman" w:hAnsi="Times New Roman"/>
          <w:sz w:val="28"/>
          <w:szCs w:val="28"/>
          <w:lang w:val="ru-RU"/>
        </w:rPr>
        <w:t xml:space="preserve"> введения запрета весенней охоты в Казахстане, подготовленного ОО «Ассоциацией сохранения биоразнообразия Казахстана» и РГП «Институт зоологии» КН МОН РК</w:t>
      </w:r>
      <w:r>
        <w:rPr>
          <w:rFonts w:ascii="Times New Roman" w:hAnsi="Times New Roman"/>
          <w:sz w:val="28"/>
          <w:szCs w:val="28"/>
          <w:lang w:val="ru-RU"/>
        </w:rPr>
        <w:t>, не является основанием запрета весенней охоты.</w:t>
      </w:r>
    </w:p>
    <w:p w:rsidR="003276BD" w:rsidRPr="0073208E" w:rsidRDefault="003276BD" w:rsidP="0095372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Главный охотовед РАОООиСОХ «Кансонар»   Леонтьев С.В.</w:t>
      </w:r>
    </w:p>
    <w:sectPr w:rsidR="003276BD" w:rsidRPr="0073208E" w:rsidSect="009F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0A49"/>
    <w:rsid w:val="000171D1"/>
    <w:rsid w:val="00031D82"/>
    <w:rsid w:val="0009278D"/>
    <w:rsid w:val="001C68EF"/>
    <w:rsid w:val="00203429"/>
    <w:rsid w:val="00217BA2"/>
    <w:rsid w:val="0024120D"/>
    <w:rsid w:val="00257E0F"/>
    <w:rsid w:val="002A4617"/>
    <w:rsid w:val="002D3FD3"/>
    <w:rsid w:val="002E1876"/>
    <w:rsid w:val="00310031"/>
    <w:rsid w:val="003276BD"/>
    <w:rsid w:val="0034673B"/>
    <w:rsid w:val="0036444A"/>
    <w:rsid w:val="0036493C"/>
    <w:rsid w:val="00421D34"/>
    <w:rsid w:val="004F6F29"/>
    <w:rsid w:val="005071F8"/>
    <w:rsid w:val="00507FB9"/>
    <w:rsid w:val="00511118"/>
    <w:rsid w:val="0054644F"/>
    <w:rsid w:val="00572E54"/>
    <w:rsid w:val="005910DC"/>
    <w:rsid w:val="00611CB8"/>
    <w:rsid w:val="00710BD0"/>
    <w:rsid w:val="0073208E"/>
    <w:rsid w:val="007476A0"/>
    <w:rsid w:val="007A7F43"/>
    <w:rsid w:val="0082339D"/>
    <w:rsid w:val="00886CEC"/>
    <w:rsid w:val="00907446"/>
    <w:rsid w:val="00953725"/>
    <w:rsid w:val="0097760E"/>
    <w:rsid w:val="009F6395"/>
    <w:rsid w:val="00A00B20"/>
    <w:rsid w:val="00AD4E91"/>
    <w:rsid w:val="00BA6EE8"/>
    <w:rsid w:val="00BC0A49"/>
    <w:rsid w:val="00C34282"/>
    <w:rsid w:val="00D26961"/>
    <w:rsid w:val="00D57CD4"/>
    <w:rsid w:val="00E66091"/>
    <w:rsid w:val="00EB3ADB"/>
    <w:rsid w:val="00EE7146"/>
    <w:rsid w:val="00F26B4A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171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FD3"/>
    <w:pPr>
      <w:spacing w:after="0" w:line="240" w:lineRule="auto"/>
    </w:pPr>
  </w:style>
  <w:style w:type="character" w:styleId="a4">
    <w:name w:val="Hyperlink"/>
    <w:uiPriority w:val="99"/>
    <w:unhideWhenUsed/>
    <w:rsid w:val="0034673B"/>
    <w:rPr>
      <w:color w:val="0000FF"/>
      <w:u w:val="single"/>
    </w:rPr>
  </w:style>
  <w:style w:type="table" w:styleId="a5">
    <w:name w:val="Table Grid"/>
    <w:basedOn w:val="a1"/>
    <w:uiPriority w:val="39"/>
    <w:rsid w:val="0003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71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71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1D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171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FD3"/>
    <w:pPr>
      <w:spacing w:after="0" w:line="240" w:lineRule="auto"/>
    </w:pPr>
  </w:style>
  <w:style w:type="character" w:styleId="a4">
    <w:name w:val="Hyperlink"/>
    <w:uiPriority w:val="99"/>
    <w:unhideWhenUsed/>
    <w:rsid w:val="0034673B"/>
    <w:rPr>
      <w:color w:val="0000FF"/>
      <w:u w:val="single"/>
    </w:rPr>
  </w:style>
  <w:style w:type="table" w:styleId="a5">
    <w:name w:val="Table Grid"/>
    <w:basedOn w:val="a1"/>
    <w:uiPriority w:val="39"/>
    <w:rsid w:val="0003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171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71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1D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microsoft.com/office/2007/relationships/stylesWithEffects" Target="stylesWithEffects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ownloads\&#1088;&#1072;&#1089;&#1095;&#1077;&#1090;&#1099;%20&#1087;&#1086;%20&#1074;&#1077;&#1089;&#1077;&#1085;&#1085;&#1077;&#1081;%20&#1086;&#1093;&#1086;&#1090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ownloads\&#1088;&#1072;&#1089;&#1095;&#1077;&#1090;&#1099;%20&#1087;&#1086;%20&#1074;&#1077;&#1089;&#1077;&#1085;&#1085;&#1077;&#1081;%20&#1086;&#1093;&#1086;&#1090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ownloads\&#1088;&#1072;&#1089;&#1095;&#1077;&#1090;&#1099;%20&#1087;&#1086;%20&#1074;&#1077;&#1089;&#1077;&#1085;&#1085;&#1077;&#1081;%20&#1086;&#1093;&#1086;&#1090;&#107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3\Downloads\&#1088;&#1072;&#1089;&#1095;&#1077;&#1090;&#1099;%20&#1087;&#1086;%20&#1074;&#1077;&#1089;&#1077;&#1085;&#1085;&#1077;&#1081;%20&#1086;&#1093;&#1086;&#1090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численности уток по годам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Лист1!$C$5</c:f>
              <c:strCache>
                <c:ptCount val="1"/>
                <c:pt idx="0">
                  <c:v>численность уток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</c:trendline>
          <c:cat>
            <c:numRef>
              <c:f>Лист1!$D$4:$I$4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Лист1!$D$5:$I$5</c:f>
              <c:numCache>
                <c:formatCode>General</c:formatCode>
                <c:ptCount val="6"/>
                <c:pt idx="0">
                  <c:v>10.030000000000001</c:v>
                </c:pt>
                <c:pt idx="1">
                  <c:v>11.28</c:v>
                </c:pt>
                <c:pt idx="2">
                  <c:v>12.27</c:v>
                </c:pt>
                <c:pt idx="3">
                  <c:v>12.84</c:v>
                </c:pt>
                <c:pt idx="4">
                  <c:v>13.77</c:v>
                </c:pt>
                <c:pt idx="5">
                  <c:v>11.66</c:v>
                </c:pt>
              </c:numCache>
            </c:numRef>
          </c:val>
        </c:ser>
        <c:dLbls>
          <c:showVal val="1"/>
        </c:dLbls>
        <c:marker val="1"/>
        <c:axId val="137611520"/>
        <c:axId val="137441664"/>
      </c:lineChart>
      <c:catAx>
        <c:axId val="13761152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годы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441664"/>
        <c:crosses val="autoZero"/>
        <c:lblAlgn val="ctr"/>
        <c:lblOffset val="100"/>
        <c:tickLblSkip val="1"/>
      </c:catAx>
      <c:valAx>
        <c:axId val="1374416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численность, тысяч особей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61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лимит добычи уток по годам</a:t>
            </a:r>
          </a:p>
        </c:rich>
      </c:tx>
      <c:layout>
        <c:manualLayout>
          <c:xMode val="edge"/>
          <c:yMode val="edge"/>
          <c:x val="0.33200678040244996"/>
          <c:y val="2.7777777777777801E-2"/>
        </c:manualLayout>
      </c:layout>
      <c:spPr>
        <a:noFill/>
        <a:ln>
          <a:noFill/>
        </a:ln>
        <a:effectLst/>
      </c:spPr>
    </c:title>
    <c:plotArea>
      <c:layout/>
      <c:lineChart>
        <c:grouping val="standard"/>
        <c:ser>
          <c:idx val="1"/>
          <c:order val="0"/>
          <c:tx>
            <c:strRef>
              <c:f>Лист1!$C$9</c:f>
              <c:strCache>
                <c:ptCount val="1"/>
                <c:pt idx="0">
                  <c:v>лимит добычи уток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</c:trendline>
          <c:cat>
            <c:numRef>
              <c:f>Лист1!$D$8:$I$8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Лист1!$D$9:$I$9</c:f>
              <c:numCache>
                <c:formatCode>General</c:formatCode>
                <c:ptCount val="6"/>
                <c:pt idx="0">
                  <c:v>794.8</c:v>
                </c:pt>
                <c:pt idx="1">
                  <c:v>760.1</c:v>
                </c:pt>
                <c:pt idx="2">
                  <c:v>720.1</c:v>
                </c:pt>
                <c:pt idx="3">
                  <c:v>686.8</c:v>
                </c:pt>
                <c:pt idx="4">
                  <c:v>635.1</c:v>
                </c:pt>
                <c:pt idx="5">
                  <c:v>650</c:v>
                </c:pt>
              </c:numCache>
            </c:numRef>
          </c:val>
        </c:ser>
        <c:dLbls>
          <c:showVal val="1"/>
        </c:dLbls>
        <c:marker val="1"/>
        <c:axId val="137573504"/>
        <c:axId val="13757542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ysClr val="windowText" lastClr="00000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Лист1!$D$8:$I$8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Лист1!$D$8:$I$8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37573504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годы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575424"/>
        <c:crosses val="autoZero"/>
        <c:auto val="1"/>
        <c:lblAlgn val="ctr"/>
        <c:lblOffset val="100"/>
      </c:catAx>
      <c:valAx>
        <c:axId val="137575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лимит, сотня особей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57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численности тетерева по годам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Лист1!$C$29</c:f>
              <c:strCache>
                <c:ptCount val="1"/>
                <c:pt idx="0">
                  <c:v>численность тетерева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</c:trendline>
          <c:cat>
            <c:numRef>
              <c:f>Лист1!$D$28:$I$28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Лист1!$D$29:$I$29</c:f>
              <c:numCache>
                <c:formatCode>General</c:formatCode>
                <c:ptCount val="6"/>
                <c:pt idx="0">
                  <c:v>145.80000000000001</c:v>
                </c:pt>
                <c:pt idx="1">
                  <c:v>161.80000000000001</c:v>
                </c:pt>
                <c:pt idx="2">
                  <c:v>174.2</c:v>
                </c:pt>
                <c:pt idx="3">
                  <c:v>178.1</c:v>
                </c:pt>
                <c:pt idx="4">
                  <c:v>183.4</c:v>
                </c:pt>
                <c:pt idx="5">
                  <c:v>197.5</c:v>
                </c:pt>
              </c:numCache>
            </c:numRef>
          </c:val>
        </c:ser>
        <c:dLbls>
          <c:showVal val="1"/>
        </c:dLbls>
        <c:marker val="1"/>
        <c:axId val="137404416"/>
        <c:axId val="137406336"/>
      </c:lineChart>
      <c:catAx>
        <c:axId val="137404416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годы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406336"/>
        <c:crosses val="autoZero"/>
        <c:auto val="1"/>
        <c:lblAlgn val="ctr"/>
        <c:lblOffset val="100"/>
      </c:catAx>
      <c:valAx>
        <c:axId val="1374063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численность, сотня особей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404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lineChart>
        <c:grouping val="standard"/>
        <c:ser>
          <c:idx val="0"/>
          <c:order val="0"/>
          <c:tx>
            <c:strRef>
              <c:f>Лист1!$C$34</c:f>
              <c:strCache>
                <c:ptCount val="1"/>
                <c:pt idx="0">
                  <c:v>лимит добычи тетерева</c:v>
                </c:pt>
              </c:strCache>
            </c:strRef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</c:trendline>
          <c:cat>
            <c:numRef>
              <c:f>Лист1!$D$33:$I$33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Лист1!$D$34:$I$34</c:f>
              <c:numCache>
                <c:formatCode>General</c:formatCode>
                <c:ptCount val="6"/>
                <c:pt idx="0">
                  <c:v>16</c:v>
                </c:pt>
                <c:pt idx="1">
                  <c:v>9.7000000000000011</c:v>
                </c:pt>
                <c:pt idx="2">
                  <c:v>11.7</c:v>
                </c:pt>
                <c:pt idx="3">
                  <c:v>14.1</c:v>
                </c:pt>
                <c:pt idx="4">
                  <c:v>12.2</c:v>
                </c:pt>
                <c:pt idx="5">
                  <c:v>12.2</c:v>
                </c:pt>
              </c:numCache>
            </c:numRef>
          </c:val>
        </c:ser>
        <c:dLbls>
          <c:showVal val="1"/>
        </c:dLbls>
        <c:marker val="1"/>
        <c:axId val="137632384"/>
        <c:axId val="137646848"/>
      </c:lineChart>
      <c:catAx>
        <c:axId val="137632384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годы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646848"/>
        <c:crosses val="autoZero"/>
        <c:auto val="1"/>
        <c:lblAlgn val="ctr"/>
        <c:lblOffset val="100"/>
      </c:catAx>
      <c:valAx>
        <c:axId val="1376468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лимит , сотня особей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632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2016-11-17T04:31:00Z</dcterms:created>
  <dcterms:modified xsi:type="dcterms:W3CDTF">2016-11-17T04:31:00Z</dcterms:modified>
</cp:coreProperties>
</file>